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Muster BV Personalakte Suche</w:t>
      </w:r>
    </w:p>
    <w:p>
      <w:pPr>
        <w:pStyle w:val="FirstParagraph"/>
      </w:pPr>
      <w:r>
        <w:t xml:space="preserve">// Vorlage 3</w:t>
      </w:r>
    </w:p>
    <w:bookmarkStart w:id="28" w:name="X8618b5f595a44fa6479e4db370e4208faf18e4a"/>
    <w:p>
      <w:pPr>
        <w:pStyle w:val="Heading2"/>
      </w:pPr>
      <w:r>
        <w:t xml:space="preserve">Betriebsvereinbarung über den Einsatz eines KI-Bots mit Zugriff auf HR-Wissen / Personalakte (RAG-Bot)</w:t>
      </w:r>
    </w:p>
    <w:p>
      <w:pPr>
        <w:pStyle w:val="FirstParagraph"/>
      </w:pPr>
      <w:r>
        <w:t xml:space="preserve">Anwendung: Bots, die strukturiertes HR-Wissen (Betriebsvereinbarungen, Tarifverträge, eigene Policies) — und ggf. Personalakten-Inhalte — auf Anfrage durchsuchen.</w:t>
      </w:r>
      <w:r>
        <w:t xml:space="preserve"> </w:t>
      </w:r>
      <w:r>
        <w:rPr>
          <w:bCs/>
          <w:b/>
        </w:rPr>
        <w:t xml:space="preserve">Mitbestimmungs-relevant nach § 87 (1) Nr. 6 BetrVG.</w:t>
      </w:r>
    </w:p>
    <w:bookmarkStart w:id="20" w:name="geltungsbereich"/>
    <w:p>
      <w:pPr>
        <w:pStyle w:val="Heading3"/>
      </w:pPr>
      <w:r>
        <w:t xml:space="preserve">§ 1 Geltungsbereich</w:t>
      </w:r>
    </w:p>
    <w:p>
      <w:pPr>
        <w:pStyle w:val="FirstParagraph"/>
      </w:pPr>
      <w:r>
        <w:t xml:space="preserve">Diese BV regelt den Einsatz des KI-Bots</w:t>
      </w:r>
      <w:r>
        <w:t xml:space="preserve"> </w:t>
      </w:r>
      <w:r>
        <w:rPr>
          <w:iCs/>
          <w:i/>
        </w:rPr>
        <w:t xml:space="preserve">[Bot-Name]</w:t>
      </w:r>
      <w:r>
        <w:t xml:space="preserve"> </w:t>
      </w:r>
      <w:r>
        <w:t xml:space="preserve">zur Suche und Aggregation von HR-Wissen im Unternehmen [Firmenname], einschließlich des Zugriffs auf personenbezogene Daten in Personalakten (sofern aktiviert, siehe § 3).</w:t>
      </w:r>
    </w:p>
    <w:bookmarkEnd w:id="20"/>
    <w:bookmarkStart w:id="21" w:name="zweckbindung"/>
    <w:p>
      <w:pPr>
        <w:pStyle w:val="Heading3"/>
      </w:pPr>
      <w:r>
        <w:t xml:space="preserve">§ 2 Zweckbindung</w:t>
      </w:r>
    </w:p>
    <w:p>
      <w:pPr>
        <w:pStyle w:val="FirstParagraph"/>
      </w:pPr>
      <w:r>
        <w:t xml:space="preserve">(1) Der Bot beantwortet Fragen zu: betrieblichen Regelungen (BVs, Tarifverträge, Policies), arbeitsrechtlichen Standardthemen, eigenen Vertrags- und Bescheinigungs-Mustern, ggf. Personalakte-Suche (siehe § 3, opt-in).</w:t>
      </w:r>
    </w:p>
    <w:p>
      <w:pPr>
        <w:pStyle w:val="BodyText"/>
      </w:pPr>
      <w:r>
        <w:t xml:space="preserve">(2)</w:t>
      </w:r>
      <w:r>
        <w:t xml:space="preserve"> </w:t>
      </w:r>
      <w:r>
        <w:rPr>
          <w:bCs/>
          <w:b/>
        </w:rPr>
        <w:t xml:space="preserve">Ausdrücklich ausgeschlossen:</w:t>
      </w:r>
      <w:r>
        <w:t xml:space="preserve"> </w:t>
      </w:r>
      <w:r>
        <w:t xml:space="preserve">jede Bewertung von Mitarbeitenden, Performance-Scoring, Beförderungs-Empfehlungen, Trennungs-Empfehlungen — auch nicht „beratend". Diese Tätigkeiten fallen unter AI Act Anhang III Hochrisiko und sind durch separate BV zu regeln.</w:t>
      </w:r>
    </w:p>
    <w:bookmarkEnd w:id="21"/>
    <w:bookmarkStart w:id="22" w:name="X6b974a3e0e4a8079f77a606046c3607734cd381"/>
    <w:p>
      <w:pPr>
        <w:pStyle w:val="Heading3"/>
      </w:pPr>
      <w:r>
        <w:t xml:space="preserve">§ 3 Personalakten-Zugriff (opt-in pro Mitarbeitende:r)</w:t>
      </w:r>
    </w:p>
    <w:p>
      <w:pPr>
        <w:pStyle w:val="FirstParagraph"/>
      </w:pPr>
      <w:r>
        <w:t xml:space="preserve">(1) Der Zugriff des Bots auf Inhalte einer Personalakte ist standardmäßig</w:t>
      </w:r>
      <w:r>
        <w:t xml:space="preserve"> </w:t>
      </w:r>
      <w:r>
        <w:rPr>
          <w:iCs/>
          <w:i/>
        </w:rPr>
        <w:t xml:space="preserve">deaktiviert</w:t>
      </w:r>
      <w:r>
        <w:t xml:space="preserve">. Eine Aktivierung erfolgt nur:</w:t>
      </w:r>
    </w:p>
    <w:p>
      <w:pPr>
        <w:numPr>
          <w:ilvl w:val="0"/>
          <w:numId w:val="1001"/>
        </w:numPr>
        <w:pStyle w:val="Compact"/>
      </w:pPr>
      <w:r>
        <w:t xml:space="preserve">für Anfragen zur eigenen Akte (auf Anfrage der/des Betroffenen, Art. 15 DSGVO)</w:t>
      </w:r>
    </w:p>
    <w:p>
      <w:pPr>
        <w:numPr>
          <w:ilvl w:val="0"/>
          <w:numId w:val="1001"/>
        </w:numPr>
        <w:pStyle w:val="Compact"/>
      </w:pPr>
      <w:r>
        <w:t xml:space="preserve">für HR-Use-Cases, die im Anhang dieser BV abschließend aufgeführt sind</w:t>
      </w:r>
      <w:r>
        <w:t xml:space="preserve"> </w:t>
      </w:r>
      <w:r>
        <w:rPr>
          <w:bCs/>
          <w:b/>
        </w:rPr>
        <w:t xml:space="preserve">und vom Betriebsrat gemäß § 87 (1) Nr. 6 BetrVG ausdrücklich zugestimmt wurden</w:t>
      </w:r>
    </w:p>
    <w:p>
      <w:pPr>
        <w:pStyle w:val="FirstParagraph"/>
      </w:pPr>
      <w:r>
        <w:t xml:space="preserve">(1a) Personalakten enthalten regelmäßig besondere Kategorien personenbezogener Daten iSv Art. 9 DSGVO (Gesundheits-, Religions-, Gewerkschafts-Daten). Die Verarbeitung ist nur zulässig auf Grundlage von Art. 9 Abs. 2 lit. b DSGVO i. V. m. § 26 Abs. 3 BDSG (Arbeitsverhältnis-Kontext) oder Art. 9 Abs. 2 lit. h DSGVO (Beschäftigten-Verarbeitung mit Schutzmaßnahmen). Die zulässige Rechtsgrundlage wird im Anhang pro Use-Case dokumentiert.</w:t>
      </w:r>
    </w:p>
    <w:p>
      <w:pPr>
        <w:pStyle w:val="BodyText"/>
      </w:pPr>
      <w:r>
        <w:t xml:space="preserve">(1b) Vor jeder Aktivierung eines neuen HR-Use-Cases — auch innerhalb der im Anhang vorgesehenen Kategorien — erfolgt eine Datenschutz-Folgenabschätzung nach Art. 35 Abs. 3 lit. b DSGVO; das Ergebnis wird dem Betriebsrat zur Stellungnahme vorgelegt, bevor die Aktivierung wirksam wird.</w:t>
      </w:r>
    </w:p>
    <w:p>
      <w:pPr>
        <w:pStyle w:val="BodyText"/>
      </w:pPr>
      <w:r>
        <w:t xml:space="preserve">(2) Jede Personalakten-Anfrage wird in einem manipulationssicheren Audit-Log dokumentiert (Hybrid-Signatur). Der Betriebsrat kann jederzeit Einsicht nehmen.</w:t>
      </w:r>
    </w:p>
    <w:p>
      <w:pPr>
        <w:pStyle w:val="BodyText"/>
      </w:pPr>
      <w:r>
        <w:t xml:space="preserve">(3) Mitarbeitende werden quartalsweise informiert, ob ihre Personalakte vom Bot abgefragt wurde, und ggf. zu welchem Zweck.</w:t>
      </w:r>
    </w:p>
    <w:bookmarkEnd w:id="22"/>
    <w:bookmarkStart w:id="23" w:name="Xb6399d9bca6c3f6d22a1e159f03f81a21bb298a"/>
    <w:p>
      <w:pPr>
        <w:pStyle w:val="Heading3"/>
      </w:pPr>
      <w:r>
        <w:t xml:space="preserve">§ 4 Mitbestimmung und Überwachungseinrichtung (§ 87 (1) Nr. 6 BetrVG)</w:t>
      </w:r>
    </w:p>
    <w:p>
      <w:pPr>
        <w:pStyle w:val="FirstParagraph"/>
      </w:pPr>
      <w:r>
        <w:t xml:space="preserve">(1) Der Einsatz des Bots fällt unter § 87 (1) Nr. 6 BetrVG, da er prinzipiell geeignet ist, Verhaltens- oder Leistungsdaten von Mitarbeitenden zu erheben.</w:t>
      </w:r>
    </w:p>
    <w:p>
      <w:pPr>
        <w:pStyle w:val="BodyText"/>
      </w:pPr>
      <w:r>
        <w:t xml:space="preserve">(2) Der Bot wird so konfiguriert, dass keine personenbezogenen Auswertungen über Bot-Nutzer:innen oder Bot-Subjekte erstellt werden, die nicht durch diese BV oder eine konkrete spätere BV ausdrücklich genehmigt sind.</w:t>
      </w:r>
    </w:p>
    <w:p>
      <w:pPr>
        <w:pStyle w:val="BodyText"/>
      </w:pPr>
      <w:r>
        <w:t xml:space="preserve">(3) Der Betriebsrat hat einen permanenten Lese-Zugang zur Audit-Plattform und einen Sitz im Plattform-Compliance-Review (Quartalsmeeting).</w:t>
      </w:r>
    </w:p>
    <w:bookmarkEnd w:id="23"/>
    <w:bookmarkStart w:id="24" w:name="X5c956959f64bc1608e1ac5ccac463f6c51b67ca"/>
    <w:p>
      <w:pPr>
        <w:pStyle w:val="Heading3"/>
      </w:pPr>
      <w:r>
        <w:t xml:space="preserve">§ 5 DSGVO Art. 22 — Schutz vor automatisierten Entscheidungen</w:t>
      </w:r>
    </w:p>
    <w:p>
      <w:pPr>
        <w:pStyle w:val="FirstParagraph"/>
      </w:pPr>
      <w:r>
        <w:t xml:space="preserve">(1) Der Bot trifft keine Entscheidungen mit rechtlicher oder erheblich beeinträchtigender Wirkung iSv Art. 22 DSGVO.</w:t>
      </w:r>
    </w:p>
    <w:p>
      <w:pPr>
        <w:pStyle w:val="BodyText"/>
      </w:pPr>
      <w:r>
        <w:t xml:space="preserve">(2) Bot-generierte Empfehlungen oder Vorschläge sind unverbindlich und werden ausschließlich von HR-Mitarbeitenden in eigener Verantwortung gewichtet und umgesetzt. Eine reine Übernahme („Rubber-Stamping") ohne substanzielle menschliche Prüfung ist ausdrücklich untersagt.</w:t>
      </w:r>
    </w:p>
    <w:bookmarkEnd w:id="24"/>
    <w:bookmarkStart w:id="25" w:name="datenschutz"/>
    <w:p>
      <w:pPr>
        <w:pStyle w:val="Heading3"/>
      </w:pPr>
      <w:r>
        <w:t xml:space="preserve">§ 6 Datenschutz</w:t>
      </w:r>
    </w:p>
    <w:p>
      <w:pPr>
        <w:pStyle w:val="FirstParagraph"/>
      </w:pPr>
      <w:r>
        <w:t xml:space="preserve">(1) Es gilt die Datenschutzerklärung des Anbieters (half-work.com/datenschutz.html) sowie der Auftragsverarbeitungs-Vertrag (Anlage 1 dieser BV).</w:t>
      </w:r>
    </w:p>
    <w:p>
      <w:pPr>
        <w:pStyle w:val="BodyText"/>
      </w:pPr>
      <w:r>
        <w:t xml:space="preserve">(2) Personenbezogene Daten werden ausschließlich auf EU-Servern verarbeitet (Netcup GmbH, Deutschland). Soweit für den konkreten Use-Case ein externer Modell-Anbieter erforderlich ist, wird dieser im Anhang pro Use-Case mit Standort, Auftragsverarbeitungs-Vertrag und ggf. DPF-/SCC-Grundlage dokumentiert.</w:t>
      </w:r>
    </w:p>
    <w:p>
      <w:pPr>
        <w:pStyle w:val="BodyText"/>
      </w:pPr>
      <w:r>
        <w:t xml:space="preserve">(3) Eine Datenschutz-Folgenabschätzung (DSFA) liegt vor (Anlage 2) und wird jährlich aktualisiert.</w:t>
      </w:r>
    </w:p>
    <w:bookmarkEnd w:id="25"/>
    <w:bookmarkStart w:id="26" w:name="haftung-und-schadensdeckung"/>
    <w:p>
      <w:pPr>
        <w:pStyle w:val="Heading3"/>
      </w:pPr>
      <w:r>
        <w:t xml:space="preserve">§ 7 Haftung und Schadensdeckung</w:t>
      </w:r>
    </w:p>
    <w:p>
      <w:pPr>
        <w:pStyle w:val="FirstParagraph"/>
      </w:pPr>
      <w:r>
        <w:t xml:space="preserve">(1) Schäden aus Bot-Outputs werden zwischen [Firmenname] und half-work nach AGB B2B § 7 reguliert (Vorsatz/grobe Fahrlässigkeit unbeschränkt; einfache Fahrlässigkeit bei Kardinalpflichten auf das vereinbarte Projekt-Honorar bzw. zwölf Monats-Retainer der laufenden Begleitung gedeckelt). Drittansprüche aus dem Bot-Betrieb nach Abnahme: AGB B2B § 8 (Freistellung).</w:t>
      </w:r>
    </w:p>
    <w:p>
      <w:pPr>
        <w:pStyle w:val="BodyText"/>
      </w:pPr>
      <w:r>
        <w:t xml:space="preserve">(2) [Firmenname] unterhält eine Cyber-/Produkthaftpflicht-Versicherung mit AI-Endorsement, deren Konditionen dem BR auf Anfrage offengelegt werden. Die AI-Endorsement-Erweiterung wird durch das Compliance-Doku-Paket von half-work unterstützt.</w:t>
      </w:r>
    </w:p>
    <w:bookmarkEnd w:id="26"/>
    <w:bookmarkStart w:id="27" w:name="laufzeit-aussetzung"/>
    <w:p>
      <w:pPr>
        <w:pStyle w:val="Heading3"/>
      </w:pPr>
      <w:r>
        <w:t xml:space="preserve">§ 8 Laufzeit, Aussetzung</w:t>
      </w:r>
    </w:p>
    <w:p>
      <w:pPr>
        <w:pStyle w:val="FirstParagraph"/>
      </w:pPr>
      <w:r>
        <w:t xml:space="preserve">(1) Diese BV tritt am [Datum] in Kraft und gilt unbefristet. Kündigung mit 6 Monaten Frist zum Monatsende.</w:t>
      </w:r>
    </w:p>
    <w:p>
      <w:pPr>
        <w:pStyle w:val="BodyText"/>
      </w:pPr>
      <w:r>
        <w:t xml:space="preserve">(2) Bei Verdacht auf BV-Verstoß kann der Betriebsrat die</w:t>
      </w:r>
      <w:r>
        <w:t xml:space="preserve"> </w:t>
      </w:r>
      <w:r>
        <w:rPr>
          <w:iCs/>
          <w:i/>
        </w:rPr>
        <w:t xml:space="preserve">sofortige Aussetzung</w:t>
      </w:r>
      <w:r>
        <w:t xml:space="preserve"> </w:t>
      </w:r>
      <w:r>
        <w:t xml:space="preserve">des Bot-Einsatzes verlangen. Der Bot wird binnen 24 Stunden technisch deaktiviert; die Klärung erfolgt im Anschluss.</w:t>
      </w:r>
    </w:p>
    <w:p>
      <w:pPr>
        <w:pStyle w:val="BodyText"/>
      </w:pPr>
      <w:r>
        <w:t xml:space="preserve">[Ort, Datum] · Geschäftsleitung · Betriebsrat · Datenschutzbeauftragte:r · ggf. Konzernbetriebsrat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Muster-Vorlage bereitgestellt von half-work.com — kuratierte Senior-Freelancer:innen mit KI-Toolstack. Kostenlos nutzbar und anpassbar; keine Rechtsberatung, bitte vor Abschluss juristisch pruefen lassen. Mehr Vorlagen: https://half-work.com/musterbv.html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BV Personalakte Suche</dc:title>
  <dc:creator/>
  <cp:keywords/>
  <dcterms:created xsi:type="dcterms:W3CDTF">2026-07-03T06:31:36Z</dcterms:created>
  <dcterms:modified xsi:type="dcterms:W3CDTF">2026-07-03T06:31:36Z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